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315" w:rsidRPr="00A87315" w:rsidRDefault="00A87315" w:rsidP="00A87315">
      <w:pPr>
        <w:rPr>
          <w:rFonts w:cstheme="minorHAnsi"/>
        </w:rPr>
      </w:pPr>
      <w:r w:rsidRPr="00A87315">
        <w:rPr>
          <w:b/>
          <w:bCs/>
        </w:rPr>
        <w:t>Цель.</w:t>
      </w:r>
      <w:r w:rsidRPr="00A87315">
        <w:rPr>
          <w:rStyle w:val="1685pt"/>
          <w:rFonts w:asciiTheme="minorHAnsi" w:hAnsiTheme="minorHAnsi" w:cstheme="minorHAnsi"/>
        </w:rPr>
        <w:t xml:space="preserve"> </w:t>
      </w:r>
      <w:r w:rsidRPr="00A87315">
        <w:rPr>
          <w:rFonts w:cstheme="minorHAnsi"/>
        </w:rPr>
        <w:t xml:space="preserve">Оценить безопасность применения тикагрелора у пациентов, перенесших инфаркт миокарда с подъемом сегмента </w:t>
      </w:r>
      <w:r w:rsidRPr="00A87315">
        <w:rPr>
          <w:rFonts w:cstheme="minorHAnsi"/>
          <w:lang w:val="en-US" w:bidi="en-US"/>
        </w:rPr>
        <w:t>ST</w:t>
      </w:r>
      <w:r w:rsidRPr="00A87315">
        <w:rPr>
          <w:rFonts w:cstheme="minorHAnsi"/>
          <w:lang w:bidi="en-US"/>
        </w:rPr>
        <w:t xml:space="preserve">, </w:t>
      </w:r>
      <w:r w:rsidRPr="00A87315">
        <w:rPr>
          <w:rFonts w:cstheme="minorHAnsi"/>
        </w:rPr>
        <w:t>которым была проведена фибринолитическая терапия.</w:t>
      </w:r>
    </w:p>
    <w:p w:rsidR="00A87315" w:rsidRPr="00A87315" w:rsidRDefault="00A87315" w:rsidP="00A87315">
      <w:pPr>
        <w:rPr>
          <w:rFonts w:cstheme="minorHAnsi"/>
        </w:rPr>
      </w:pPr>
      <w:r w:rsidRPr="00A87315">
        <w:rPr>
          <w:b/>
          <w:bCs/>
        </w:rPr>
        <w:t>Материалы и методы.</w:t>
      </w:r>
      <w:r w:rsidRPr="00A87315">
        <w:rPr>
          <w:rStyle w:val="1685pt"/>
          <w:rFonts w:asciiTheme="minorHAnsi" w:hAnsiTheme="minorHAnsi" w:cstheme="minorHAnsi"/>
        </w:rPr>
        <w:t xml:space="preserve"> </w:t>
      </w:r>
      <w:r w:rsidRPr="00A87315">
        <w:rPr>
          <w:rFonts w:cstheme="minorHAnsi"/>
        </w:rPr>
        <w:t>В данное одноцентровое нерандомизированное исследование было включено 200 пациентов (мо</w:t>
      </w:r>
      <w:r w:rsidRPr="00A87315">
        <w:rPr>
          <w:rFonts w:cstheme="minorHAnsi"/>
        </w:rPr>
        <w:softHyphen/>
        <w:t xml:space="preserve">ложе 75 лет), перенесших инфаркт миокарда с подъемом сегмента </w:t>
      </w:r>
      <w:r w:rsidRPr="00A87315">
        <w:rPr>
          <w:rFonts w:cstheme="minorHAnsi"/>
          <w:lang w:val="en-US" w:bidi="en-US"/>
        </w:rPr>
        <w:t>ST</w:t>
      </w:r>
      <w:r w:rsidRPr="00A87315">
        <w:rPr>
          <w:rFonts w:cstheme="minorHAnsi"/>
          <w:lang w:bidi="en-US"/>
        </w:rPr>
        <w:t xml:space="preserve"> </w:t>
      </w:r>
      <w:r w:rsidRPr="00A87315">
        <w:rPr>
          <w:rFonts w:cstheme="minorHAnsi"/>
        </w:rPr>
        <w:t>и которым была проведена реперфузионная терапия стрептокиназой. Исследование проводилось в период с марта по май 2018 года. 100 пациентов получали тикагрелор (на</w:t>
      </w:r>
      <w:r w:rsidRPr="00A87315">
        <w:rPr>
          <w:rFonts w:cstheme="minorHAnsi"/>
        </w:rPr>
        <w:softHyphen/>
        <w:t>грузочная доза 180 мг с дальнейшим переходом на прием 90 мг 2 раза в день ежедневно), в то время как другим 100 паци</w:t>
      </w:r>
      <w:r w:rsidRPr="00A87315">
        <w:rPr>
          <w:rFonts w:cstheme="minorHAnsi"/>
        </w:rPr>
        <w:softHyphen/>
        <w:t xml:space="preserve">ентам был назначен клопидогрел (нагрузочная доза 300 мг с дальнейшим переходом на 75 мг ежедневно). Оба ингибитора </w:t>
      </w:r>
      <w:r w:rsidRPr="00A87315">
        <w:rPr>
          <w:rFonts w:cstheme="minorHAnsi"/>
          <w:lang w:val="en-US" w:bidi="en-US"/>
        </w:rPr>
        <w:t>P</w:t>
      </w:r>
      <w:r w:rsidRPr="00A87315">
        <w:rPr>
          <w:rFonts w:cstheme="minorHAnsi"/>
          <w:lang w:bidi="en-US"/>
        </w:rPr>
        <w:t>2</w:t>
      </w:r>
      <w:r w:rsidRPr="00A87315">
        <w:rPr>
          <w:rFonts w:cstheme="minorHAnsi"/>
          <w:lang w:val="en-US" w:bidi="en-US"/>
        </w:rPr>
        <w:t>Y</w:t>
      </w:r>
      <w:r w:rsidRPr="00A87315">
        <w:rPr>
          <w:rFonts w:cstheme="minorHAnsi"/>
          <w:lang w:bidi="en-US"/>
        </w:rPr>
        <w:t xml:space="preserve">12 </w:t>
      </w:r>
      <w:r w:rsidRPr="00A87315">
        <w:rPr>
          <w:rFonts w:cstheme="minorHAnsi"/>
        </w:rPr>
        <w:t xml:space="preserve">назначались спустя 2 часа после введения стрептокиназы, никому из включенных в исследование пациентов ранее терапия ингибиторами </w:t>
      </w:r>
      <w:r w:rsidRPr="00A87315">
        <w:rPr>
          <w:rFonts w:cstheme="minorHAnsi"/>
          <w:lang w:val="en-US" w:bidi="en-US"/>
        </w:rPr>
        <w:t>P</w:t>
      </w:r>
      <w:r w:rsidRPr="00A87315">
        <w:rPr>
          <w:rFonts w:cstheme="minorHAnsi"/>
          <w:lang w:bidi="en-US"/>
        </w:rPr>
        <w:t>2</w:t>
      </w:r>
      <w:r w:rsidRPr="00A87315">
        <w:rPr>
          <w:rFonts w:cstheme="minorHAnsi"/>
          <w:lang w:val="en-US" w:bidi="en-US"/>
        </w:rPr>
        <w:t>Y</w:t>
      </w:r>
      <w:r w:rsidRPr="00A87315">
        <w:rPr>
          <w:rFonts w:cstheme="minorHAnsi"/>
          <w:lang w:bidi="en-US"/>
        </w:rPr>
        <w:t xml:space="preserve">12 </w:t>
      </w:r>
      <w:r w:rsidRPr="00A87315">
        <w:rPr>
          <w:rFonts w:cstheme="minorHAnsi"/>
        </w:rPr>
        <w:t>не назначалась. Первичной конечной точкой являлись ассоциированные с тромболитической терапией инфаркт миокарда «большие» и «малые» кровотечения в течение 60 дней.</w:t>
      </w:r>
    </w:p>
    <w:p w:rsidR="00A87315" w:rsidRPr="00A87315" w:rsidRDefault="00A87315" w:rsidP="00A87315">
      <w:pPr>
        <w:rPr>
          <w:rFonts w:cstheme="minorHAnsi"/>
        </w:rPr>
      </w:pPr>
      <w:r w:rsidRPr="00A87315">
        <w:rPr>
          <w:b/>
          <w:bCs/>
        </w:rPr>
        <w:t>Результаты.</w:t>
      </w:r>
      <w:r w:rsidRPr="00A87315">
        <w:rPr>
          <w:rStyle w:val="1685pt"/>
          <w:rFonts w:asciiTheme="minorHAnsi" w:hAnsiTheme="minorHAnsi" w:cstheme="minorHAnsi"/>
        </w:rPr>
        <w:t xml:space="preserve"> </w:t>
      </w:r>
      <w:r w:rsidRPr="00A87315">
        <w:rPr>
          <w:rFonts w:cstheme="minorHAnsi"/>
        </w:rPr>
        <w:t>По истечении 60 дней ассоциированные с тромболизисом кровотечения были отмечены у 4</w:t>
      </w:r>
      <w:r w:rsidRPr="00A87315">
        <w:rPr>
          <w:rStyle w:val="1685pt"/>
          <w:rFonts w:asciiTheme="minorHAnsi" w:hAnsiTheme="minorHAnsi" w:cstheme="minorHAnsi"/>
        </w:rPr>
        <w:t xml:space="preserve"> % </w:t>
      </w:r>
      <w:r w:rsidRPr="00A87315">
        <w:rPr>
          <w:rFonts w:cstheme="minorHAnsi"/>
        </w:rPr>
        <w:t>пациентов, получавших тикагрелор, и у 3</w:t>
      </w:r>
      <w:r w:rsidRPr="00A87315">
        <w:rPr>
          <w:rStyle w:val="1685pt"/>
          <w:rFonts w:asciiTheme="minorHAnsi" w:hAnsiTheme="minorHAnsi" w:cstheme="minorHAnsi"/>
        </w:rPr>
        <w:t xml:space="preserve"> % </w:t>
      </w:r>
      <w:r w:rsidRPr="00A87315">
        <w:rPr>
          <w:rFonts w:cstheme="minorHAnsi"/>
        </w:rPr>
        <w:t>пациентов, получавших клопидогрел (ОШ=1,3472, 95</w:t>
      </w:r>
      <w:r w:rsidRPr="00A87315">
        <w:rPr>
          <w:rStyle w:val="1685pt"/>
          <w:rFonts w:asciiTheme="minorHAnsi" w:hAnsiTheme="minorHAnsi" w:cstheme="minorHAnsi"/>
        </w:rPr>
        <w:t xml:space="preserve"> % </w:t>
      </w:r>
      <w:r w:rsidRPr="00A87315">
        <w:rPr>
          <w:rFonts w:cstheme="minorHAnsi"/>
        </w:rPr>
        <w:t>ДИ = от 0,293</w:t>
      </w:r>
      <w:r w:rsidRPr="00A87315">
        <w:rPr>
          <w:rStyle w:val="1685pt"/>
          <w:rFonts w:asciiTheme="minorHAnsi" w:hAnsiTheme="minorHAnsi" w:cstheme="minorHAnsi"/>
        </w:rPr>
        <w:t xml:space="preserve"> % </w:t>
      </w:r>
      <w:r w:rsidRPr="00A87315">
        <w:rPr>
          <w:rFonts w:cstheme="minorHAnsi"/>
        </w:rPr>
        <w:t>до 6,18 %; р =0,7014 в отношении безопасности). Не было отмечено ни одного случая кровотечения, приведшего к смертельному исходу, или внутричерепного кровоизлияния. «Малые» и незначительные кровотечения отмечались у 14</w:t>
      </w:r>
      <w:r w:rsidRPr="00A87315">
        <w:rPr>
          <w:rStyle w:val="1685pt"/>
          <w:rFonts w:asciiTheme="minorHAnsi" w:hAnsiTheme="minorHAnsi" w:cstheme="minorHAnsi"/>
        </w:rPr>
        <w:t xml:space="preserve"> % </w:t>
      </w:r>
      <w:r w:rsidRPr="00A87315">
        <w:rPr>
          <w:rFonts w:cstheme="minorHAnsi"/>
        </w:rPr>
        <w:t>пациентов, получавших тикагрелор, и у 11 % пациентов, получавших клопидогрел (ОШ=1,3171; 95 % ДИ = от 0,566 % до 3,06 %; р =0,5221 в отноше</w:t>
      </w:r>
      <w:r w:rsidRPr="00A87315">
        <w:rPr>
          <w:rFonts w:cstheme="minorHAnsi"/>
        </w:rPr>
        <w:softHyphen/>
        <w:t xml:space="preserve">нии безопасности). После корректировки для подгруппы пациентов с изначально высоким риском кровотечения </w:t>
      </w:r>
      <w:r w:rsidRPr="00A87315">
        <w:rPr>
          <w:rFonts w:cstheme="minorHAnsi"/>
          <w:lang w:bidi="en-US"/>
        </w:rPr>
        <w:t>(</w:t>
      </w:r>
      <w:r w:rsidRPr="00A87315">
        <w:rPr>
          <w:rFonts w:cstheme="minorHAnsi"/>
          <w:lang w:val="en-US" w:bidi="en-US"/>
        </w:rPr>
        <w:t>HAS</w:t>
      </w:r>
      <w:r w:rsidRPr="00A87315">
        <w:rPr>
          <w:rFonts w:cstheme="minorHAnsi"/>
          <w:lang w:bidi="en-US"/>
        </w:rPr>
        <w:t xml:space="preserve">- </w:t>
      </w:r>
      <w:r w:rsidRPr="00A87315">
        <w:rPr>
          <w:rFonts w:cstheme="minorHAnsi"/>
          <w:lang w:val="en-US" w:bidi="en-US"/>
        </w:rPr>
        <w:t>BLED</w:t>
      </w:r>
      <w:r w:rsidRPr="00A87315">
        <w:rPr>
          <w:rFonts w:cstheme="minorHAnsi"/>
          <w:lang w:bidi="en-US"/>
        </w:rPr>
        <w:t xml:space="preserve"> </w:t>
      </w:r>
      <w:r w:rsidRPr="00A87315">
        <w:rPr>
          <w:rFonts w:cstheme="minorHAnsi"/>
        </w:rPr>
        <w:t>»3), частота кровотечений в группе тикагрелора не повышалась (ОШ=1,611; 95 % ДИ=0,52-4,9; ИПВ (индекс потенци</w:t>
      </w:r>
      <w:r w:rsidRPr="00A87315">
        <w:rPr>
          <w:rFonts w:cstheme="minorHAnsi"/>
        </w:rPr>
        <w:softHyphen/>
        <w:t>ального вреда) =8,4; р=0,40). Снижение относительн</w:t>
      </w:r>
      <w:bookmarkStart w:id="0" w:name="_GoBack"/>
      <w:bookmarkEnd w:id="0"/>
      <w:r w:rsidRPr="00A87315">
        <w:rPr>
          <w:rFonts w:cstheme="minorHAnsi"/>
        </w:rPr>
        <w:t>ого риска в группе клопидогреля составило лишь 1,25 %.</w:t>
      </w:r>
    </w:p>
    <w:p w:rsidR="00A87315" w:rsidRPr="00A87315" w:rsidRDefault="00A87315" w:rsidP="00A87315">
      <w:pPr>
        <w:rPr>
          <w:rFonts w:cstheme="minorHAnsi"/>
        </w:rPr>
      </w:pPr>
      <w:r w:rsidRPr="00A87315">
        <w:rPr>
          <w:b/>
          <w:bCs/>
        </w:rPr>
        <w:t>Заключение.</w:t>
      </w:r>
      <w:r w:rsidRPr="00A87315">
        <w:rPr>
          <w:rStyle w:val="1685pt"/>
          <w:rFonts w:asciiTheme="minorHAnsi" w:hAnsiTheme="minorHAnsi" w:cstheme="minorHAnsi"/>
        </w:rPr>
        <w:t xml:space="preserve"> </w:t>
      </w:r>
      <w:r w:rsidRPr="00A87315">
        <w:rPr>
          <w:rFonts w:cstheme="minorHAnsi"/>
        </w:rPr>
        <w:t xml:space="preserve">Среди пациентов моложе 75 лет, перенесших ИМ с подъемом </w:t>
      </w:r>
      <w:r w:rsidRPr="00A87315">
        <w:rPr>
          <w:rFonts w:cstheme="minorHAnsi"/>
          <w:lang w:val="en-US" w:bidi="en-US"/>
        </w:rPr>
        <w:t>ST</w:t>
      </w:r>
      <w:r w:rsidRPr="00A87315">
        <w:rPr>
          <w:rFonts w:cstheme="minorHAnsi"/>
          <w:lang w:bidi="en-US"/>
        </w:rPr>
        <w:t xml:space="preserve">, </w:t>
      </w:r>
      <w:r w:rsidRPr="00A87315">
        <w:rPr>
          <w:rFonts w:cstheme="minorHAnsi"/>
        </w:rPr>
        <w:t>отсроченное назначение тикагрелора спустя 2 часа после фибринолитической терапии не уступало по безопасности клопидогрелю в отношении ассоциирован</w:t>
      </w:r>
      <w:r w:rsidRPr="00A87315">
        <w:rPr>
          <w:rFonts w:cstheme="minorHAnsi"/>
        </w:rPr>
        <w:softHyphen/>
        <w:t>ных с тромболизисом кровотечений различной степени выраженности в течение 60 дней наблюдения, в том числе у паци</w:t>
      </w:r>
      <w:r w:rsidRPr="00A87315">
        <w:rPr>
          <w:rFonts w:cstheme="minorHAnsi"/>
        </w:rPr>
        <w:softHyphen/>
        <w:t xml:space="preserve">ентов с повышенным риском кровотечений (&gt;3 баллов по шкале </w:t>
      </w:r>
      <w:r w:rsidRPr="00A87315">
        <w:rPr>
          <w:rFonts w:cstheme="minorHAnsi"/>
          <w:lang w:val="en-US" w:bidi="en-US"/>
        </w:rPr>
        <w:t>HAS</w:t>
      </w:r>
      <w:r w:rsidRPr="00A87315">
        <w:rPr>
          <w:rFonts w:cstheme="minorHAnsi"/>
          <w:lang w:bidi="en-US"/>
        </w:rPr>
        <w:t>-</w:t>
      </w:r>
      <w:r w:rsidRPr="00A87315">
        <w:rPr>
          <w:rFonts w:cstheme="minorHAnsi"/>
          <w:lang w:val="en-US" w:bidi="en-US"/>
        </w:rPr>
        <w:t>BLED</w:t>
      </w:r>
      <w:r w:rsidRPr="00A87315">
        <w:rPr>
          <w:rFonts w:cstheme="minorHAnsi"/>
          <w:lang w:bidi="en-US"/>
        </w:rPr>
        <w:t>).</w:t>
      </w:r>
    </w:p>
    <w:p w:rsidR="00A87315" w:rsidRPr="00A87315" w:rsidRDefault="00A87315" w:rsidP="00A87315">
      <w:pPr>
        <w:rPr>
          <w:rFonts w:cstheme="minorHAnsi"/>
        </w:rPr>
      </w:pPr>
      <w:r w:rsidRPr="00A87315">
        <w:rPr>
          <w:b/>
          <w:bCs/>
        </w:rPr>
        <w:t>Ключевые слова:</w:t>
      </w:r>
      <w:r w:rsidRPr="00A87315">
        <w:rPr>
          <w:rStyle w:val="1685pt"/>
          <w:rFonts w:asciiTheme="minorHAnsi" w:hAnsiTheme="minorHAnsi" w:cstheme="minorHAnsi"/>
        </w:rPr>
        <w:t xml:space="preserve"> </w:t>
      </w:r>
      <w:r w:rsidRPr="00A87315">
        <w:rPr>
          <w:rFonts w:cstheme="minorHAnsi"/>
        </w:rPr>
        <w:t>антитромбоцитарная терапия, инфаркт миокарда, фибринолиз, кровотечение.</w:t>
      </w:r>
    </w:p>
    <w:p w:rsidR="00822C1F" w:rsidRPr="00A87315" w:rsidRDefault="00822C1F" w:rsidP="00A87315">
      <w:pPr>
        <w:rPr>
          <w:rFonts w:cstheme="minorHAnsi"/>
        </w:rPr>
      </w:pPr>
    </w:p>
    <w:sectPr w:rsidR="00822C1F" w:rsidRPr="00A8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1AC"/>
    <w:rsid w:val="002C11AC"/>
    <w:rsid w:val="00822C1F"/>
    <w:rsid w:val="00A8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80BFBA-0BC9-4E33-AFEC-1698E95D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6">
    <w:name w:val="Основной текст (16)_"/>
    <w:basedOn w:val="a0"/>
    <w:link w:val="160"/>
    <w:rsid w:val="002C11AC"/>
    <w:rPr>
      <w:rFonts w:ascii="Segoe UI" w:eastAsia="Segoe UI" w:hAnsi="Segoe UI" w:cs="Segoe UI"/>
      <w:i/>
      <w:iCs/>
      <w:sz w:val="16"/>
      <w:szCs w:val="16"/>
      <w:shd w:val="clear" w:color="auto" w:fill="FFFFFF"/>
    </w:rPr>
  </w:style>
  <w:style w:type="character" w:customStyle="1" w:styleId="1685pt">
    <w:name w:val="Основной текст (16) + 8.5 pt;Полужирный;Не курсив"/>
    <w:basedOn w:val="16"/>
    <w:rsid w:val="002C11AC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60">
    <w:name w:val="Основной текст (16)"/>
    <w:basedOn w:val="a"/>
    <w:link w:val="16"/>
    <w:rsid w:val="002C11AC"/>
    <w:pPr>
      <w:widowControl w:val="0"/>
      <w:shd w:val="clear" w:color="auto" w:fill="FFFFFF"/>
      <w:spacing w:before="300" w:after="0" w:line="278" w:lineRule="exact"/>
      <w:jc w:val="both"/>
    </w:pPr>
    <w:rPr>
      <w:rFonts w:ascii="Segoe UI" w:eastAsia="Segoe UI" w:hAnsi="Segoe UI" w:cs="Segoe UI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2020-02-15T14:37:00Z</dcterms:created>
  <dcterms:modified xsi:type="dcterms:W3CDTF">2020-02-15T14:37:00Z</dcterms:modified>
</cp:coreProperties>
</file>